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after="300" w:line="276" w:lineRule="auto"/>
        <w:rPr>
          <w:color w:val="0563c1"/>
        </w:rPr>
      </w:pPr>
      <w:bookmarkStart w:colFirst="0" w:colLast="0" w:name="_heading=h.13rysij5xq7n" w:id="0"/>
      <w:bookmarkEnd w:id="0"/>
      <w:r w:rsidDel="00000000" w:rsidR="00000000" w:rsidRPr="00000000">
        <w:rPr>
          <w:color w:val="0563c1"/>
          <w:rtl w:val="0"/>
        </w:rPr>
        <w:t xml:space="preserve"> Marco Jurídico</w:t>
      </w:r>
    </w:p>
    <w:p w:rsidR="00000000" w:rsidDel="00000000" w:rsidP="00000000" w:rsidRDefault="00000000" w:rsidRPr="00000000" w14:paraId="00000002">
      <w:pPr>
        <w:spacing w:line="276" w:lineRule="auto"/>
        <w:rPr/>
      </w:pPr>
      <w:r w:rsidDel="00000000" w:rsidR="00000000" w:rsidRPr="00000000">
        <w:rPr>
          <w:rtl w:val="0"/>
        </w:rPr>
        <w:t xml:space="preserve">Según establece el artículo 85 de la Ley 7/1985 de Bases del Régimen Local, de 2 de abril, las sociedades mercantiles locales se regirán íntegramente, cualquiera que sea su forma jurídica, por el ordenamiento jurídico privado, salvo las materias en que les sea de aplicación la normativa presupuestaria, contable, de control financiero, de control de eficacia y contratación.</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La SPEGC es una sociedad anónima y por tanto está sujeta al Real Decreto Legislativo 1/2010, de 2 de julio, por el que se aprueba el Texto Refundido de la Ley de Sociedades de Capital y, además en atención a su condición de entidad perteneciente al sector público del Cabildo de Gran Canaria y a la actividad que desarrolla, da observancia a la normativa específica que le sea de aplicación, destacando la siguiente:</w:t>
      </w:r>
    </w:p>
    <w:p w:rsidR="00000000" w:rsidDel="00000000" w:rsidP="00000000" w:rsidRDefault="00000000" w:rsidRPr="00000000" w14:paraId="00000005">
      <w:pPr>
        <w:spacing w:line="276" w:lineRule="auto"/>
        <w:rPr>
          <w:b w:val="1"/>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pPr>
      <w:r w:rsidDel="00000000" w:rsidR="00000000" w:rsidRPr="00000000">
        <w:rPr>
          <w:rtl w:val="0"/>
        </w:rPr>
        <w:t xml:space="preserve">Ley 9/2017, de 8 de noviembre, de Contratos del Sector Público, por la que se transponen al ordenamiento jurídico español las Directivas del Parlamento Europeo y del Consejo 2014/23/UE y 2014/24/UE, de 26 de febrero de 2014.</w:t>
      </w:r>
    </w:p>
    <w:p w:rsidR="00000000" w:rsidDel="00000000" w:rsidP="00000000" w:rsidRDefault="00000000" w:rsidRPr="00000000" w14:paraId="00000007">
      <w:pPr>
        <w:numPr>
          <w:ilvl w:val="0"/>
          <w:numId w:val="1"/>
        </w:numPr>
        <w:spacing w:line="276" w:lineRule="auto"/>
        <w:ind w:left="720" w:hanging="360"/>
        <w:rPr/>
      </w:pPr>
      <w:r w:rsidDel="00000000" w:rsidR="00000000" w:rsidRPr="00000000">
        <w:rPr>
          <w:rtl w:val="0"/>
        </w:rPr>
        <w:t xml:space="preserve">Real Decreto 1098/2001, de 12 de octubre, por el que se aprueba el Reglamento general de la Ley de Contratos de las Administraciones Públicas.</w:t>
      </w:r>
    </w:p>
    <w:p w:rsidR="00000000" w:rsidDel="00000000" w:rsidP="00000000" w:rsidRDefault="00000000" w:rsidRPr="00000000" w14:paraId="00000008">
      <w:pPr>
        <w:numPr>
          <w:ilvl w:val="0"/>
          <w:numId w:val="1"/>
        </w:numPr>
        <w:spacing w:line="276" w:lineRule="auto"/>
        <w:ind w:left="720" w:hanging="360"/>
        <w:rPr/>
      </w:pPr>
      <w:r w:rsidDel="00000000" w:rsidR="00000000" w:rsidRPr="00000000">
        <w:rPr>
          <w:rtl w:val="0"/>
        </w:rPr>
        <w:t xml:space="preserve">Ley 8/2015, de 1 de abril, de Cabildos Insulares.</w:t>
      </w:r>
    </w:p>
    <w:p w:rsidR="00000000" w:rsidDel="00000000" w:rsidP="00000000" w:rsidRDefault="00000000" w:rsidRPr="00000000" w14:paraId="00000009">
      <w:pPr>
        <w:numPr>
          <w:ilvl w:val="0"/>
          <w:numId w:val="1"/>
        </w:numPr>
        <w:spacing w:line="276" w:lineRule="auto"/>
        <w:ind w:left="720" w:hanging="360"/>
        <w:rPr/>
      </w:pPr>
      <w:r w:rsidDel="00000000" w:rsidR="00000000" w:rsidRPr="00000000">
        <w:rPr>
          <w:rtl w:val="0"/>
        </w:rPr>
        <w:t xml:space="preserve">Real Decreto Legislativo 2/2004, de 5 de marzo, por el que se aprueba el texto refundido de la Ley Reguladora de las Haciendas Locales.</w:t>
      </w:r>
    </w:p>
    <w:p w:rsidR="00000000" w:rsidDel="00000000" w:rsidP="00000000" w:rsidRDefault="00000000" w:rsidRPr="00000000" w14:paraId="0000000A">
      <w:pPr>
        <w:numPr>
          <w:ilvl w:val="0"/>
          <w:numId w:val="1"/>
        </w:numPr>
        <w:spacing w:line="276" w:lineRule="auto"/>
        <w:ind w:left="720" w:hanging="360"/>
        <w:rPr/>
      </w:pPr>
      <w:r w:rsidDel="00000000" w:rsidR="00000000" w:rsidRPr="00000000">
        <w:rPr>
          <w:rtl w:val="0"/>
        </w:rPr>
        <w:t xml:space="preserve">Ley 33/2003, de 3 de noviembre, del Patrimonio de las Administraciones Públicas.</w:t>
      </w:r>
    </w:p>
    <w:p w:rsidR="00000000" w:rsidDel="00000000" w:rsidP="00000000" w:rsidRDefault="00000000" w:rsidRPr="00000000" w14:paraId="0000000B">
      <w:pPr>
        <w:numPr>
          <w:ilvl w:val="0"/>
          <w:numId w:val="1"/>
        </w:numPr>
        <w:spacing w:line="276" w:lineRule="auto"/>
        <w:ind w:left="720" w:hanging="360"/>
        <w:rPr>
          <w:u w:val="none"/>
        </w:rPr>
      </w:pPr>
      <w:r w:rsidDel="00000000" w:rsidR="00000000" w:rsidRPr="00000000">
        <w:rPr>
          <w:rtl w:val="0"/>
        </w:rPr>
        <w:t xml:space="preserve">Real Decreto 1372/1986, de 13 de junio, por el que se aprueba el Reglamento de Bienes de las Entidades Locales.</w:t>
      </w:r>
    </w:p>
    <w:p w:rsidR="00000000" w:rsidDel="00000000" w:rsidP="00000000" w:rsidRDefault="00000000" w:rsidRPr="00000000" w14:paraId="0000000C">
      <w:pPr>
        <w:numPr>
          <w:ilvl w:val="0"/>
          <w:numId w:val="1"/>
        </w:numPr>
        <w:spacing w:line="276" w:lineRule="auto"/>
        <w:ind w:left="720" w:hanging="360"/>
        <w:rPr>
          <w:u w:val="none"/>
        </w:rPr>
      </w:pPr>
      <w:r w:rsidDel="00000000" w:rsidR="00000000" w:rsidRPr="00000000">
        <w:rPr>
          <w:rtl w:val="0"/>
        </w:rPr>
        <w:t xml:space="preserve">Reglamento Orgánico de Gobierno y Administración del Cabildo de Gran Canaria.</w:t>
      </w:r>
    </w:p>
    <w:p w:rsidR="00000000" w:rsidDel="00000000" w:rsidP="00000000" w:rsidRDefault="00000000" w:rsidRPr="00000000" w14:paraId="0000000D">
      <w:pPr>
        <w:numPr>
          <w:ilvl w:val="0"/>
          <w:numId w:val="1"/>
        </w:numPr>
        <w:spacing w:line="276" w:lineRule="auto"/>
        <w:ind w:left="720" w:hanging="360"/>
        <w:rPr>
          <w:u w:val="none"/>
        </w:rPr>
      </w:pPr>
      <w:r w:rsidDel="00000000" w:rsidR="00000000" w:rsidRPr="00000000">
        <w:rPr>
          <w:rtl w:val="0"/>
        </w:rPr>
        <w:t xml:space="preserve">Ley 19/2013, de 9 de diciembre, de transparencia, acceso a la información pública y buen gobierno.</w:t>
      </w:r>
    </w:p>
    <w:p w:rsidR="00000000" w:rsidDel="00000000" w:rsidP="00000000" w:rsidRDefault="00000000" w:rsidRPr="00000000" w14:paraId="0000000E">
      <w:pPr>
        <w:numPr>
          <w:ilvl w:val="0"/>
          <w:numId w:val="1"/>
        </w:numPr>
        <w:spacing w:line="276" w:lineRule="auto"/>
        <w:ind w:left="720" w:hanging="360"/>
        <w:rPr>
          <w:u w:val="none"/>
        </w:rPr>
      </w:pPr>
      <w:r w:rsidDel="00000000" w:rsidR="00000000" w:rsidRPr="00000000">
        <w:rPr>
          <w:rtl w:val="0"/>
        </w:rPr>
        <w:t xml:space="preserve">Ley 12/2014, de 26 de diciembre, de transparencia y de acceso a la información pública.</w:t>
      </w:r>
    </w:p>
    <w:p w:rsidR="00000000" w:rsidDel="00000000" w:rsidP="00000000" w:rsidRDefault="00000000" w:rsidRPr="00000000" w14:paraId="0000000F">
      <w:pPr>
        <w:numPr>
          <w:ilvl w:val="0"/>
          <w:numId w:val="1"/>
        </w:numPr>
        <w:spacing w:line="276" w:lineRule="auto"/>
        <w:ind w:left="720" w:hanging="360"/>
        <w:rPr>
          <w:u w:val="none"/>
        </w:rPr>
      </w:pPr>
      <w:r w:rsidDel="00000000" w:rsidR="00000000" w:rsidRPr="00000000">
        <w:rPr>
          <w:rtl w:val="0"/>
        </w:rPr>
        <w:t xml:space="preserve">Real Decreto 1112/2018, de 7 de septiembre, sobre accesibilidad de los sitios web y aplicaciones para dispositivos móviles del sector público.</w:t>
      </w:r>
    </w:p>
    <w:p w:rsidR="00000000" w:rsidDel="00000000" w:rsidP="00000000" w:rsidRDefault="00000000" w:rsidRPr="00000000" w14:paraId="00000010">
      <w:pPr>
        <w:numPr>
          <w:ilvl w:val="0"/>
          <w:numId w:val="1"/>
        </w:numPr>
        <w:spacing w:line="276" w:lineRule="auto"/>
        <w:ind w:left="720" w:hanging="360"/>
        <w:rPr>
          <w:u w:val="none"/>
        </w:rPr>
      </w:pPr>
      <w:r w:rsidDel="00000000" w:rsidR="00000000" w:rsidRPr="00000000">
        <w:rPr>
          <w:rtl w:val="0"/>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000000" w:rsidDel="00000000" w:rsidP="00000000" w:rsidRDefault="00000000" w:rsidRPr="00000000" w14:paraId="00000011">
      <w:pPr>
        <w:numPr>
          <w:ilvl w:val="0"/>
          <w:numId w:val="1"/>
        </w:numPr>
        <w:spacing w:line="276" w:lineRule="auto"/>
        <w:ind w:left="720" w:hanging="360"/>
        <w:rPr/>
      </w:pPr>
      <w:r w:rsidDel="00000000" w:rsidR="00000000" w:rsidRPr="00000000">
        <w:rPr>
          <w:rtl w:val="0"/>
        </w:rPr>
        <w:t xml:space="preserve">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000000" w:rsidDel="00000000" w:rsidP="00000000" w:rsidRDefault="00000000" w:rsidRPr="00000000" w14:paraId="00000012">
      <w:pPr>
        <w:numPr>
          <w:ilvl w:val="0"/>
          <w:numId w:val="1"/>
        </w:numPr>
        <w:spacing w:line="276" w:lineRule="auto"/>
        <w:ind w:left="720" w:hanging="360"/>
        <w:rPr>
          <w:u w:val="none"/>
        </w:rPr>
      </w:pPr>
      <w:r w:rsidDel="00000000" w:rsidR="00000000" w:rsidRPr="00000000">
        <w:rPr>
          <w:rtl w:val="0"/>
        </w:rPr>
        <w:t xml:space="preserve">Ley Orgánica 3/2018, de 5 de diciembre, de Protección de Datos Personales y garantía de los derechos digitales.</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Ley 34/2002, de 11 de julio, de servicios de la sociedad de la información y de comercio electrónico.</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Circular 1/2019, de 7 de marzo, de la Agencia Española de Protección de Datos, sobre el tratamiento de datos personales relativos a opiniones políticas y envío de propaganda electoral por medios electrónicos o sistemas de mensajería por parte de partidos políticos, federaciones, coaliciones y agrupaciones de electores al amparo del artículo 58 bis de la Ley Orgánica 5/1985, de 19 de junio, del Régimen Electoral General.</w:t>
      </w:r>
    </w:p>
    <w:p w:rsidR="00000000" w:rsidDel="00000000" w:rsidP="00000000" w:rsidRDefault="00000000" w:rsidRPr="00000000" w14:paraId="00000015">
      <w:pPr>
        <w:spacing w:line="276" w:lineRule="auto"/>
        <w:rPr>
          <w:b w:val="1"/>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hd w:fill="ffffff" w:val="clear"/>
        <w:spacing w:after="300" w:line="276"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pgMar w:bottom="1440" w:top="1440"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 de 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Avda. de la Feria nº 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35012  Las Palmas de Gran Canaria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+ 34 928 424 600</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www.spegc.org</w:t>
      </w:r>
    </w:hyperlink>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Calibri" w:cs="Calibri" w:eastAsia="Calibri" w:hAnsi="Calibri"/>
        <w:b w:val="0"/>
        <w:i w:val="0"/>
        <w:smallCaps w:val="0"/>
        <w:strike w:val="0"/>
        <w:color w:val="bfbfbf"/>
        <w:sz w:val="16"/>
        <w:szCs w:val="16"/>
        <w:u w:val="none"/>
        <w:shd w:fill="auto" w:val="clear"/>
        <w:vertAlign w:val="baseline"/>
        <w:rtl w:val="0"/>
      </w:rPr>
      <w:t xml:space="preserve">Sociedad inscrita en el Registro Mercantil de Las Palmas, folio 119, del libro 1351, hoja GC 18308, inscripción 1ª, N.I.F. A35483221</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Avda. de la Feria nº 1</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35012  Las Palmas de Gran Canaria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+ 34 928 424 600</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www.spegc.org</w:t>
      </w:r>
    </w:hyperlink>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Calibri" w:cs="Calibri" w:eastAsia="Calibri" w:hAnsi="Calibri"/>
        <w:b w:val="0"/>
        <w:i w:val="0"/>
        <w:smallCaps w:val="0"/>
        <w:strike w:val="0"/>
        <w:color w:val="bfbfbf"/>
        <w:sz w:val="16"/>
        <w:szCs w:val="16"/>
        <w:u w:val="none"/>
        <w:shd w:fill="auto" w:val="clear"/>
        <w:vertAlign w:val="baseline"/>
        <w:rtl w:val="0"/>
      </w:rPr>
      <w:t xml:space="preserve">Sociedad inscrita en el Registro Mercantil de Las Palmas, folio 119, del libro 1351, hoja GC 18308, inscripción 1ª, N.I.F. A35483221</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97378" cy="12166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7378" cy="1216657"/>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53737"/>
    <w:pPr>
      <w:tabs>
        <w:tab w:val="center" w:pos="4252"/>
        <w:tab w:val="right" w:pos="8504"/>
      </w:tabs>
    </w:pPr>
  </w:style>
  <w:style w:type="character" w:styleId="EncabezadoCar" w:customStyle="1">
    <w:name w:val="Encabezado Car"/>
    <w:basedOn w:val="Fuentedeprrafopredeter"/>
    <w:link w:val="Encabezado"/>
    <w:uiPriority w:val="99"/>
    <w:rsid w:val="00753737"/>
  </w:style>
  <w:style w:type="paragraph" w:styleId="Piedepgina">
    <w:name w:val="footer"/>
    <w:basedOn w:val="Normal"/>
    <w:link w:val="PiedepginaCar"/>
    <w:uiPriority w:val="99"/>
    <w:unhideWhenUsed w:val="1"/>
    <w:rsid w:val="00753737"/>
    <w:pPr>
      <w:tabs>
        <w:tab w:val="center" w:pos="4252"/>
        <w:tab w:val="right" w:pos="8504"/>
      </w:tabs>
    </w:pPr>
  </w:style>
  <w:style w:type="character" w:styleId="PiedepginaCar" w:customStyle="1">
    <w:name w:val="Pie de página Car"/>
    <w:basedOn w:val="Fuentedeprrafopredeter"/>
    <w:link w:val="Piedepgina"/>
    <w:uiPriority w:val="99"/>
    <w:rsid w:val="00753737"/>
  </w:style>
  <w:style w:type="character" w:styleId="Hipervnculo">
    <w:name w:val="Hyperlink"/>
    <w:basedOn w:val="Fuentedeprrafopredeter"/>
    <w:uiPriority w:val="99"/>
    <w:unhideWhenUsed w:val="1"/>
    <w:rsid w:val="00DE6B2C"/>
    <w:rPr>
      <w:color w:val="0563c1" w:themeColor="hyperlink"/>
      <w:u w:val="single"/>
    </w:rPr>
  </w:style>
  <w:style w:type="character" w:styleId="Nmerodepgina">
    <w:name w:val="page number"/>
    <w:basedOn w:val="Fuentedeprrafopredeter"/>
    <w:uiPriority w:val="99"/>
    <w:semiHidden w:val="1"/>
    <w:unhideWhenUsed w:val="1"/>
    <w:rsid w:val="006B75F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peg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pe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QegnxQtEvBzYBipsljJ8CT0fw==">AMUW2mVYNUqogQfwGqYknAUVSktE4aodAI05dAvPgU+w3wSnCxrIxOwP37b7kZFxDsGfh6eIVom08Mm+Nn/tJ06VJ8xlB1xJyoutNUBOa//NX+wKINhvCo3nyXZPQhZiahWR+INnQ00ovhGnJiJ2X3tSHeuJD/r6tw==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2017-10-24T13:09:00Z</dcterms:created>
  <dc:creator>Usuario de Microsoft Office</dc:creator>
</cp:coreProperties>
</file>